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35</w:t>
      </w:r>
    </w:p>
    <w:p>
      <w:r>
        <w:t>Bundesgericht (BGE), 1986-01-01, FR</w:t>
      </w:r>
    </w:p>
    <w:p>
      <w:r>
        <w:rPr>
          <w:b/>
        </w:rPr>
        <w:t xml:space="preserve">Quelle: </w:t>
      </w:r>
      <w:r>
        <w:t>https://mcp.opencaselaw.ch/entscheid/bge_112 II 35</w:t>
      </w:r>
    </w:p>
    <w:p>
      <w:r>
        <w:t>FR: ATF 112 II 35</w:t>
      </w:r>
    </w:p>
    <w:p>
      <w:r>
        <w:t>IT: DTF 112 II 35</w:t>
      </w:r>
    </w:p>
    <w:p>
      <w:pPr>
        <w:pStyle w:val="Heading2"/>
      </w:pPr>
      <w:r>
        <w:t>Regeste</w:t>
      </w:r>
    </w:p>
    <w:p>
      <w:r>
        <w:t>Regeste Rechtsnatur der entgeltlichen Überlassung eines zum Finanzvermögen einer Gemeinde gehörenden Vermögensteils. Eine Vereinbarung, wonach eine Gemeinde während einer gewissen Zeit einem Bauern gegen Entrichtung einer Abgabe eine nicht Bestandteil des Verwaltungsvermögens bildende Weide zu Nutzen und Gebrauch überlässt, stellt einen Pachtvertrag i.S. von Art. 275 ff. OR dar.</w:t>
      </w:r>
    </w:p>
    <w:p>
      <w:pPr>
        <w:pStyle w:val="Heading2"/>
      </w:pPr>
      <w:r>
        <w:t>Erwägungen</w:t>
      </w:r>
    </w:p>
    <w:p>
      <w:r>
        <w:rPr>
          <w:b/>
        </w:rPr>
        <w:t>E. 1</w:t>
      </w:r>
    </w:p>
    <w:p>
      <w:r>
        <w:t>Les conditions formelles de l'ouverture de la voie du recours en nullité sont remplies. BGE 112 II 35 S. 37 En effet, le recourant se prévaut d'un tel cas de recours ( art. 68 al. 1 lettre a OJ ). D'autre part, l'arrêt attaqué ne peut pas faire l'objet d'un recours en réforme, car la valeur litigieuse n'atteint pas 8'000 francs ( art. 46 OJ ) sur le vu des indications non contestées fournies par le recourant.</w:t>
      </w:r>
    </w:p>
    <w:p>
      <w:r>
        <w:rPr>
          <w:b/>
        </w:rPr>
        <w:t>E. 2</w:t>
      </w:r>
    </w:p>
    <w:p>
      <w:r>
        <w:t>Il est à juste titre incontesté que les pâturages de la commune ne sont pas affectés au domaine public et relèvent donc de son patrimoine fiscal (cf. ATF 107 II 47 /48 et les références). Dès lors, les actes par lesquels cette collectivité dispose de la propriété, de l'usage ou de la jouissance de ces biens ressortissent également au droit privé ( ATF 97 II 377 consid. 3c et les références). La cour cantonale n'explique pas pour quelle raison la détermination des biens affermés échapperait au droit privé, notamment à l'autonomie de la volonté dans la fixation de l'objet du contrat. Il sied de distinguer ce qui fait l'objet du contrat de droit privé des règles internes que se donne la collectivité publique pour déterminer à quelles conditions elle conclura avec des tiers par une offre ou une acceptation. Ces règles internes ne modifient en rien la nature juridique de contrats qui, par leur nature, ressortissent au droit privé, même lorsqu'elles ont pour effet la conclusion de contrats dits d'adhésion (cf., mutatis mutandis, l'arrêt ATF 106 Ia 325 ss consid. 3a et b, concernant les soumissions précédant une adjudication de travaux). La convention par laquelle la commune cède, contre rémunération, l'usage et la jouissance d'une parcelle de pâturage pendant un certain temps est donc un bail à ferme ( art. 275 ss CO ; art. 23 à 27 LPR, RS 211.412.11; loi fédérale du 21 décembre 1960 sur le contrôle des fermages agricoles, RS 942.10). Que la convention des parties soit éventuellement contraire aux dispositions du bail à ferme agricole n'empêche pas qu'elle leur soit soumise. La cause doit dès lors être renvoyée à la cour cantonale pour qu'elle la juge au regard du droit civil fédéral en lieu et place du droit public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